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22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14</w:t>
      </w:r>
      <w:r w:rsidR="00650541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650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183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  <w:r w:rsidR="00650541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5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984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067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995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</w:t>
            </w:r>
            <w:r w:rsidR="008825D8">
              <w:rPr>
                <w:rFonts w:ascii="Times New Roman" w:hAnsi="Times New Roman"/>
                <w:sz w:val="28"/>
                <w:szCs w:val="28"/>
              </w:rPr>
              <w:t>90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5D8">
              <w:rPr>
                <w:rFonts w:ascii="Times New Roman" w:hAnsi="Times New Roman"/>
                <w:sz w:val="28"/>
                <w:szCs w:val="28"/>
              </w:rPr>
              <w:t>411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8825D8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579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056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411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379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752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227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9 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761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596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F076E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280 625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076E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011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 xml:space="preserve"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D5B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73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74D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D5B8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D5B8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D5B8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067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  <w:r w:rsidR="008A1687">
              <w:rPr>
                <w:rFonts w:ascii="Times New Roman" w:hAnsi="Times New Roman"/>
                <w:sz w:val="19"/>
                <w:szCs w:val="19"/>
              </w:rPr>
              <w:t>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574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499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60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984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579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580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529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14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761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280 625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40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274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279 862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107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10 733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bookmarkStart w:id="0" w:name="_GoBack"/>
            <w:bookmarkEnd w:id="0"/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329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039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011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46004A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 w:rsidR="00FD5B8C"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 w:rsidR="009C5E39"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 w:rsidR="009C5E39"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DC" w:rsidRDefault="00D815DC">
      <w:pPr>
        <w:spacing w:after="0" w:line="240" w:lineRule="auto"/>
      </w:pPr>
      <w:r>
        <w:separator/>
      </w:r>
    </w:p>
  </w:endnote>
  <w:endnote w:type="continuationSeparator" w:id="0">
    <w:p w:rsidR="00D815DC" w:rsidRDefault="00D8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DC" w:rsidRDefault="00D815DC">
      <w:pPr>
        <w:spacing w:after="0" w:line="240" w:lineRule="auto"/>
      </w:pPr>
      <w:r>
        <w:separator/>
      </w:r>
    </w:p>
  </w:footnote>
  <w:footnote w:type="continuationSeparator" w:id="0">
    <w:p w:rsidR="00D815DC" w:rsidRDefault="00D8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A1687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FD5B8C" w:rsidRDefault="00FD5B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A1687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BC6A37" w:rsidRDefault="00FD5B8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A1687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1659B9" w:rsidRDefault="00FD5B8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</w:p>
  <w:p w:rsidR="00FD5B8C" w:rsidRPr="00BC6A37" w:rsidRDefault="00FD5B8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5C8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0539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620D"/>
    <w:rsid w:val="00891D30"/>
    <w:rsid w:val="0089288C"/>
    <w:rsid w:val="00893D53"/>
    <w:rsid w:val="00894278"/>
    <w:rsid w:val="00896FB3"/>
    <w:rsid w:val="008A018E"/>
    <w:rsid w:val="008A12CC"/>
    <w:rsid w:val="008A1687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C5E39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766E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7A7"/>
    <w:rsid w:val="00D07C3A"/>
    <w:rsid w:val="00D11C4C"/>
    <w:rsid w:val="00D12B09"/>
    <w:rsid w:val="00D13A05"/>
    <w:rsid w:val="00D1468D"/>
    <w:rsid w:val="00D146B6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BFF9-9079-42DE-9E7A-BAE52669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68</Pages>
  <Words>21907</Words>
  <Characters>124872</Characters>
  <Application>Microsoft Office Word</Application>
  <DocSecurity>0</DocSecurity>
  <Lines>1040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5</cp:revision>
  <cp:lastPrinted>2023-11-13T11:13:00Z</cp:lastPrinted>
  <dcterms:created xsi:type="dcterms:W3CDTF">2023-12-22T13:07:00Z</dcterms:created>
  <dcterms:modified xsi:type="dcterms:W3CDTF">2023-12-22T13:29:00Z</dcterms:modified>
</cp:coreProperties>
</file>